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EB" w:rsidRPr="008265EB" w:rsidRDefault="008265EB" w:rsidP="008265EB">
      <w:pPr>
        <w:jc w:val="center"/>
        <w:rPr>
          <w:b/>
          <w:sz w:val="40"/>
        </w:rPr>
      </w:pPr>
      <w:r w:rsidRPr="008265EB">
        <w:rPr>
          <w:b/>
          <w:sz w:val="40"/>
        </w:rPr>
        <w:t>Rhetorical Analysis</w:t>
      </w:r>
    </w:p>
    <w:p w:rsidR="008265EB" w:rsidRPr="009F0BE3" w:rsidRDefault="008265EB" w:rsidP="008265EB">
      <w:pPr>
        <w:jc w:val="center"/>
        <w:rPr>
          <w:i/>
          <w:sz w:val="28"/>
        </w:rPr>
      </w:pPr>
      <w:r w:rsidRPr="009F0BE3">
        <w:rPr>
          <w:i/>
          <w:sz w:val="28"/>
        </w:rPr>
        <w:t>Persuading an Audience…</w:t>
      </w:r>
    </w:p>
    <w:p w:rsidR="00115594" w:rsidRPr="008265EB" w:rsidRDefault="008265EB" w:rsidP="008265EB">
      <w:pPr>
        <w:jc w:val="center"/>
        <w:rPr>
          <w:b/>
          <w:sz w:val="28"/>
        </w:rPr>
      </w:pPr>
      <w:r w:rsidRPr="008265EB">
        <w:rPr>
          <w:b/>
          <w:sz w:val="28"/>
        </w:rPr>
        <w:t xml:space="preserve">TO </w:t>
      </w:r>
      <w:r w:rsidR="00645100">
        <w:rPr>
          <w:b/>
          <w:sz w:val="28"/>
        </w:rPr>
        <w:t>BELIEVE</w:t>
      </w:r>
    </w:p>
    <w:p w:rsidR="008265EB" w:rsidRDefault="008265EB"/>
    <w:p w:rsidR="009F0BE3" w:rsidRPr="009F0BE3" w:rsidRDefault="003A55FB" w:rsidP="009F0BE3">
      <w:pPr>
        <w:jc w:val="center"/>
        <w:rPr>
          <w:b/>
          <w:color w:val="DC5050"/>
          <w:sz w:val="24"/>
        </w:rPr>
      </w:pPr>
      <w:r>
        <w:rPr>
          <w:b/>
          <w:sz w:val="24"/>
        </w:rPr>
        <w:t>Text Studied: A</w:t>
      </w:r>
      <w:r w:rsidR="00645100">
        <w:rPr>
          <w:b/>
          <w:sz w:val="24"/>
        </w:rPr>
        <w:t xml:space="preserve">tticus Finch’s Closing Argument from </w:t>
      </w:r>
      <w:r w:rsidR="00645100" w:rsidRPr="00645100">
        <w:rPr>
          <w:b/>
          <w:i/>
          <w:sz w:val="24"/>
        </w:rPr>
        <w:t xml:space="preserve">To Kill </w:t>
      </w:r>
      <w:proofErr w:type="gramStart"/>
      <w:r w:rsidR="00645100" w:rsidRPr="00645100">
        <w:rPr>
          <w:b/>
          <w:i/>
          <w:sz w:val="24"/>
        </w:rPr>
        <w:t>A</w:t>
      </w:r>
      <w:proofErr w:type="gramEnd"/>
      <w:r w:rsidR="00645100" w:rsidRPr="00645100">
        <w:rPr>
          <w:b/>
          <w:i/>
          <w:sz w:val="24"/>
        </w:rPr>
        <w:t xml:space="preserve"> Mockingbird</w:t>
      </w:r>
    </w:p>
    <w:p w:rsidR="008265EB" w:rsidRDefault="008265EB">
      <w:pPr>
        <w:rPr>
          <w:b/>
        </w:rPr>
      </w:pPr>
    </w:p>
    <w:p w:rsidR="00352EEA" w:rsidRPr="009F0BE3" w:rsidRDefault="00352EEA">
      <w:pPr>
        <w:rPr>
          <w:b/>
        </w:rPr>
      </w:pPr>
      <w:bookmarkStart w:id="0" w:name="_GoBack"/>
      <w:bookmarkEnd w:id="0"/>
    </w:p>
    <w:p w:rsidR="008265EB" w:rsidRDefault="008265EB" w:rsidP="00645100">
      <w:pPr>
        <w:jc w:val="center"/>
        <w:rPr>
          <w:b/>
          <w:color w:val="000000" w:themeColor="text1"/>
        </w:rPr>
      </w:pPr>
    </w:p>
    <w:p w:rsidR="00645100" w:rsidRPr="00645100" w:rsidRDefault="00645100" w:rsidP="0064510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If you are still struggling with Ethos, Pathos &amp; Logos, complete ONLY THE </w:t>
      </w:r>
      <w:r w:rsidRPr="00645100">
        <w:rPr>
          <w:b/>
          <w:color w:val="ED7D31" w:themeColor="accent2"/>
        </w:rPr>
        <w:t>FIRST BOX.</w:t>
      </w:r>
    </w:p>
    <w:tbl>
      <w:tblPr>
        <w:tblStyle w:val="TableGrid"/>
        <w:tblpPr w:leftFromText="180" w:rightFromText="180" w:vertAnchor="text" w:horzAnchor="margin" w:tblpXSpec="center" w:tblpY="114"/>
        <w:tblW w:w="10804" w:type="dxa"/>
        <w:tblLook w:val="04A0" w:firstRow="1" w:lastRow="0" w:firstColumn="1" w:lastColumn="0" w:noHBand="0" w:noVBand="1"/>
      </w:tblPr>
      <w:tblGrid>
        <w:gridCol w:w="3600"/>
        <w:gridCol w:w="3601"/>
        <w:gridCol w:w="3603"/>
      </w:tblGrid>
      <w:tr w:rsidR="009F0BE3" w:rsidTr="009F0BE3">
        <w:trPr>
          <w:trHeight w:val="219"/>
        </w:trPr>
        <w:tc>
          <w:tcPr>
            <w:tcW w:w="10804" w:type="dxa"/>
            <w:gridSpan w:val="3"/>
          </w:tcPr>
          <w:p w:rsidR="00645100" w:rsidRPr="00645100" w:rsidRDefault="00645100" w:rsidP="00645100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FIRST BOX</w:t>
            </w:r>
          </w:p>
          <w:p w:rsidR="009F0BE3" w:rsidRDefault="009F0BE3" w:rsidP="00645100">
            <w:pPr>
              <w:jc w:val="center"/>
              <w:rPr>
                <w:b/>
              </w:rPr>
            </w:pPr>
            <w:r w:rsidRPr="008265EB">
              <w:rPr>
                <w:b/>
              </w:rPr>
              <w:t>IDENTIFY EXAMPLES OF THE THREE APPEALS</w:t>
            </w:r>
          </w:p>
          <w:p w:rsidR="003A55FB" w:rsidRPr="003A55FB" w:rsidRDefault="003A55FB" w:rsidP="009F0BE3">
            <w:pPr>
              <w:jc w:val="center"/>
              <w:rPr>
                <w:i/>
              </w:rPr>
            </w:pPr>
            <w:r w:rsidRPr="003A55FB">
              <w:rPr>
                <w:i/>
              </w:rPr>
              <w:t>By highlighting them within the speech transcript</w:t>
            </w:r>
            <w:r>
              <w:rPr>
                <w:i/>
              </w:rPr>
              <w:t>. In the space below, record (within quotation marks) which specific appeal within the speech is the most powerful in achieving the speech’s purpose, along with a brief explanation of why</w:t>
            </w:r>
          </w:p>
        </w:tc>
      </w:tr>
      <w:tr w:rsidR="009F0BE3" w:rsidTr="009F0BE3">
        <w:trPr>
          <w:trHeight w:val="205"/>
        </w:trPr>
        <w:tc>
          <w:tcPr>
            <w:tcW w:w="3600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3A55FB">
              <w:rPr>
                <w:b/>
                <w:highlight w:val="yellow"/>
              </w:rPr>
              <w:t>Ethos</w:t>
            </w:r>
          </w:p>
        </w:tc>
        <w:tc>
          <w:tcPr>
            <w:tcW w:w="3601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3A55FB">
              <w:rPr>
                <w:b/>
                <w:highlight w:val="cyan"/>
              </w:rPr>
              <w:t>Pathos</w:t>
            </w:r>
          </w:p>
        </w:tc>
        <w:tc>
          <w:tcPr>
            <w:tcW w:w="3603" w:type="dxa"/>
          </w:tcPr>
          <w:p w:rsidR="009F0BE3" w:rsidRPr="008265EB" w:rsidRDefault="009F0BE3" w:rsidP="009F0BE3">
            <w:pPr>
              <w:jc w:val="center"/>
              <w:rPr>
                <w:b/>
              </w:rPr>
            </w:pPr>
            <w:r w:rsidRPr="003A55FB">
              <w:rPr>
                <w:b/>
                <w:highlight w:val="green"/>
              </w:rPr>
              <w:t>Logos</w:t>
            </w:r>
          </w:p>
        </w:tc>
      </w:tr>
      <w:tr w:rsidR="009F0BE3" w:rsidTr="009F0BE3">
        <w:trPr>
          <w:trHeight w:val="438"/>
        </w:trPr>
        <w:tc>
          <w:tcPr>
            <w:tcW w:w="3600" w:type="dxa"/>
          </w:tcPr>
          <w:p w:rsidR="009F0BE3" w:rsidRPr="00645100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00B050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  <w:p w:rsidR="009F0BE3" w:rsidRPr="00645100" w:rsidRDefault="009F0BE3" w:rsidP="009F0BE3">
            <w:pPr>
              <w:rPr>
                <w:color w:val="00B050"/>
              </w:rPr>
            </w:pPr>
          </w:p>
        </w:tc>
        <w:tc>
          <w:tcPr>
            <w:tcW w:w="3601" w:type="dxa"/>
          </w:tcPr>
          <w:p w:rsidR="009F0BE3" w:rsidRPr="00645100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00B050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</w:tc>
        <w:tc>
          <w:tcPr>
            <w:tcW w:w="3603" w:type="dxa"/>
          </w:tcPr>
          <w:p w:rsidR="009F0BE3" w:rsidRPr="00645100" w:rsidRDefault="009F0BE3" w:rsidP="009F0BE3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00B050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</w:tc>
      </w:tr>
      <w:tr w:rsidR="009F0BE3" w:rsidTr="003D2F4A">
        <w:trPr>
          <w:trHeight w:val="438"/>
        </w:trPr>
        <w:tc>
          <w:tcPr>
            <w:tcW w:w="10804" w:type="dxa"/>
            <w:gridSpan w:val="3"/>
          </w:tcPr>
          <w:p w:rsidR="00645100" w:rsidRDefault="00645100" w:rsidP="009F0BE3">
            <w:r>
              <w:t>Explain how an idea in Atticus’ Closing Argument affirms or challenges your prior knowledge about justice. Support your response with reference to the text.</w:t>
            </w:r>
          </w:p>
          <w:p w:rsidR="009F0BE3" w:rsidRPr="003A55FB" w:rsidRDefault="009F0BE3" w:rsidP="009F0BE3">
            <w:pPr>
              <w:rPr>
                <w:color w:val="B733A4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  <w:p w:rsidR="009F0BE3" w:rsidRPr="009F0BE3" w:rsidRDefault="009F0BE3" w:rsidP="009F0BE3">
            <w:pPr>
              <w:rPr>
                <w:color w:val="DC5050"/>
              </w:rPr>
            </w:pPr>
          </w:p>
        </w:tc>
      </w:tr>
    </w:tbl>
    <w:p w:rsidR="008265EB" w:rsidRDefault="008265EB">
      <w:pPr>
        <w:rPr>
          <w:color w:val="000000" w:themeColor="text1"/>
        </w:rPr>
      </w:pPr>
    </w:p>
    <w:p w:rsidR="00352EEA" w:rsidRDefault="00352EEA">
      <w:pPr>
        <w:rPr>
          <w:color w:val="000000" w:themeColor="text1"/>
        </w:rPr>
      </w:pPr>
    </w:p>
    <w:p w:rsidR="00352EEA" w:rsidRDefault="00352EEA">
      <w:pPr>
        <w:rPr>
          <w:color w:val="000000" w:themeColor="text1"/>
        </w:rPr>
      </w:pPr>
    </w:p>
    <w:p w:rsidR="008265EB" w:rsidRDefault="00645100" w:rsidP="00645100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If you understand Ethos, Pathos &amp; Logos, complete ONLY THE </w:t>
      </w:r>
      <w:r w:rsidRPr="00645100">
        <w:rPr>
          <w:b/>
          <w:color w:val="FF1FC4"/>
        </w:rPr>
        <w:t>SECOND BOX.</w:t>
      </w:r>
    </w:p>
    <w:tbl>
      <w:tblPr>
        <w:tblStyle w:val="TableGrid"/>
        <w:tblpPr w:leftFromText="180" w:rightFromText="180" w:vertAnchor="text" w:horzAnchor="margin" w:tblpXSpec="center" w:tblpY="114"/>
        <w:tblW w:w="10804" w:type="dxa"/>
        <w:tblLook w:val="04A0" w:firstRow="1" w:lastRow="0" w:firstColumn="1" w:lastColumn="0" w:noHBand="0" w:noVBand="1"/>
      </w:tblPr>
      <w:tblGrid>
        <w:gridCol w:w="3600"/>
        <w:gridCol w:w="3601"/>
        <w:gridCol w:w="3603"/>
      </w:tblGrid>
      <w:tr w:rsidR="00645100" w:rsidTr="00BD7D88">
        <w:trPr>
          <w:trHeight w:val="219"/>
        </w:trPr>
        <w:tc>
          <w:tcPr>
            <w:tcW w:w="10804" w:type="dxa"/>
            <w:gridSpan w:val="3"/>
          </w:tcPr>
          <w:p w:rsidR="00645100" w:rsidRPr="00645100" w:rsidRDefault="00645100" w:rsidP="00BD7D88">
            <w:pPr>
              <w:jc w:val="center"/>
              <w:rPr>
                <w:b/>
                <w:color w:val="FF1FC4"/>
              </w:rPr>
            </w:pPr>
            <w:r>
              <w:rPr>
                <w:b/>
                <w:color w:val="FF1FC4"/>
              </w:rPr>
              <w:t>SECOND BOX</w:t>
            </w:r>
          </w:p>
          <w:p w:rsidR="00645100" w:rsidRDefault="00645100" w:rsidP="00BD7D88">
            <w:pPr>
              <w:jc w:val="center"/>
              <w:rPr>
                <w:b/>
              </w:rPr>
            </w:pPr>
            <w:r w:rsidRPr="008265EB">
              <w:rPr>
                <w:b/>
              </w:rPr>
              <w:t>IDENTIFY EXAMPLES OF THE THREE APPEALS</w:t>
            </w:r>
          </w:p>
          <w:p w:rsidR="00645100" w:rsidRPr="003A55FB" w:rsidRDefault="00645100" w:rsidP="00BD7D88">
            <w:pPr>
              <w:jc w:val="center"/>
              <w:rPr>
                <w:i/>
              </w:rPr>
            </w:pPr>
            <w:r w:rsidRPr="003A55FB">
              <w:rPr>
                <w:i/>
              </w:rPr>
              <w:t>By highlighting them within the speech transcript</w:t>
            </w:r>
            <w:r>
              <w:rPr>
                <w:i/>
              </w:rPr>
              <w:t>. In the space below, record (within quotation marks) which specific appeal within the speech is the most powerful in achieving the speech’s purpose, along with a brief explanation of why</w:t>
            </w:r>
          </w:p>
        </w:tc>
      </w:tr>
      <w:tr w:rsidR="00645100" w:rsidTr="00BD7D88">
        <w:trPr>
          <w:trHeight w:val="205"/>
        </w:trPr>
        <w:tc>
          <w:tcPr>
            <w:tcW w:w="3600" w:type="dxa"/>
          </w:tcPr>
          <w:p w:rsidR="00645100" w:rsidRPr="00645100" w:rsidRDefault="00645100" w:rsidP="00BD7D88">
            <w:pPr>
              <w:jc w:val="center"/>
              <w:rPr>
                <w:b/>
              </w:rPr>
            </w:pPr>
            <w:r>
              <w:rPr>
                <w:b/>
              </w:rPr>
              <w:t>Replace this text with Device 1</w:t>
            </w:r>
          </w:p>
        </w:tc>
        <w:tc>
          <w:tcPr>
            <w:tcW w:w="3601" w:type="dxa"/>
          </w:tcPr>
          <w:p w:rsidR="00645100" w:rsidRPr="00645100" w:rsidRDefault="00645100" w:rsidP="00BD7D88">
            <w:pPr>
              <w:jc w:val="center"/>
              <w:rPr>
                <w:b/>
              </w:rPr>
            </w:pPr>
            <w:r>
              <w:rPr>
                <w:b/>
              </w:rPr>
              <w:t>Replace this text with Device 2</w:t>
            </w:r>
          </w:p>
        </w:tc>
        <w:tc>
          <w:tcPr>
            <w:tcW w:w="3603" w:type="dxa"/>
          </w:tcPr>
          <w:p w:rsidR="00645100" w:rsidRPr="00645100" w:rsidRDefault="00645100" w:rsidP="00BD7D88">
            <w:pPr>
              <w:jc w:val="center"/>
              <w:rPr>
                <w:b/>
              </w:rPr>
            </w:pPr>
            <w:r>
              <w:rPr>
                <w:b/>
              </w:rPr>
              <w:t>Replace this text with Device 3</w:t>
            </w:r>
          </w:p>
        </w:tc>
      </w:tr>
      <w:tr w:rsidR="00645100" w:rsidTr="00BD7D88">
        <w:trPr>
          <w:trHeight w:val="438"/>
        </w:trPr>
        <w:tc>
          <w:tcPr>
            <w:tcW w:w="3600" w:type="dxa"/>
          </w:tcPr>
          <w:p w:rsidR="00645100" w:rsidRPr="00645100" w:rsidRDefault="00645100" w:rsidP="00BD7D88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00B050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  <w:p w:rsidR="00645100" w:rsidRPr="00645100" w:rsidRDefault="00645100" w:rsidP="00BD7D88">
            <w:pPr>
              <w:rPr>
                <w:color w:val="00B050"/>
              </w:rPr>
            </w:pPr>
          </w:p>
        </w:tc>
        <w:tc>
          <w:tcPr>
            <w:tcW w:w="3601" w:type="dxa"/>
          </w:tcPr>
          <w:p w:rsidR="00645100" w:rsidRPr="00645100" w:rsidRDefault="00645100" w:rsidP="00BD7D88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00B050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</w:tc>
        <w:tc>
          <w:tcPr>
            <w:tcW w:w="3603" w:type="dxa"/>
          </w:tcPr>
          <w:p w:rsidR="00645100" w:rsidRPr="00645100" w:rsidRDefault="00645100" w:rsidP="00BD7D88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color w:val="00B050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</w:tc>
      </w:tr>
      <w:tr w:rsidR="00645100" w:rsidTr="00BD7D88">
        <w:trPr>
          <w:trHeight w:val="438"/>
        </w:trPr>
        <w:tc>
          <w:tcPr>
            <w:tcW w:w="10804" w:type="dxa"/>
            <w:gridSpan w:val="3"/>
          </w:tcPr>
          <w:p w:rsidR="00645100" w:rsidRDefault="00645100" w:rsidP="00BD7D88">
            <w:r>
              <w:t>Explain how an idea in Atticus’ Closing Argument affirms or challenges your prior knowledge about justice. Support your response with reference to the text.</w:t>
            </w:r>
          </w:p>
          <w:p w:rsidR="00645100" w:rsidRPr="00645100" w:rsidRDefault="00645100" w:rsidP="00BD7D88">
            <w:pPr>
              <w:rPr>
                <w:color w:val="00B050"/>
              </w:rPr>
            </w:pPr>
            <w:r w:rsidRPr="00645100">
              <w:rPr>
                <w:color w:val="00B050"/>
              </w:rPr>
              <w:t xml:space="preserve">Replace with your response </w:t>
            </w:r>
          </w:p>
          <w:p w:rsidR="00645100" w:rsidRPr="009F0BE3" w:rsidRDefault="00645100" w:rsidP="00BD7D88">
            <w:pPr>
              <w:rPr>
                <w:color w:val="DC5050"/>
              </w:rPr>
            </w:pPr>
          </w:p>
        </w:tc>
      </w:tr>
    </w:tbl>
    <w:p w:rsidR="008265EB" w:rsidRDefault="008265EB">
      <w:pPr>
        <w:rPr>
          <w:color w:val="000000" w:themeColor="text1"/>
        </w:rPr>
      </w:pPr>
    </w:p>
    <w:p w:rsidR="008265EB" w:rsidRPr="008265EB" w:rsidRDefault="008265EB">
      <w:pPr>
        <w:rPr>
          <w:color w:val="000000" w:themeColor="text1"/>
        </w:rPr>
      </w:pPr>
    </w:p>
    <w:sectPr w:rsidR="008265EB" w:rsidRPr="008265EB" w:rsidSect="009F0BE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F6CE3"/>
    <w:multiLevelType w:val="hybridMultilevel"/>
    <w:tmpl w:val="2B8C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91D26"/>
    <w:multiLevelType w:val="hybridMultilevel"/>
    <w:tmpl w:val="8BAC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EB"/>
    <w:rsid w:val="00115594"/>
    <w:rsid w:val="00352EEA"/>
    <w:rsid w:val="003A55FB"/>
    <w:rsid w:val="00645100"/>
    <w:rsid w:val="008265EB"/>
    <w:rsid w:val="009F0BE3"/>
    <w:rsid w:val="00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CF1A5-301B-4DA4-A3BA-C9BCAA3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2017-05-16T14:24:00Z</dcterms:created>
  <dcterms:modified xsi:type="dcterms:W3CDTF">2017-05-16T14:24:00Z</dcterms:modified>
</cp:coreProperties>
</file>